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Autospacing="0" w:afterAutospacing="0" w:line="360" w:lineRule="auto"/>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2018年度绥滨</w:t>
      </w:r>
      <w:r>
        <w:rPr>
          <w:rFonts w:asciiTheme="minorEastAsia" w:hAnsiTheme="minorEastAsia" w:cstheme="minorEastAsia"/>
          <w:b/>
          <w:color w:val="333333"/>
          <w:sz w:val="28"/>
          <w:szCs w:val="28"/>
        </w:rPr>
        <w:t>县北山乡中心校</w:t>
      </w:r>
      <w:r>
        <w:rPr>
          <w:rFonts w:hint="eastAsia" w:asciiTheme="minorEastAsia" w:hAnsiTheme="minorEastAsia" w:cstheme="minorEastAsia"/>
          <w:b/>
          <w:color w:val="333333"/>
          <w:sz w:val="28"/>
          <w:szCs w:val="28"/>
        </w:rPr>
        <w:t>决算文字说明</w:t>
      </w:r>
    </w:p>
    <w:p>
      <w:pPr>
        <w:pStyle w:val="4"/>
        <w:widowControl/>
        <w:spacing w:beforeAutospacing="0" w:afterAutospacing="0" w:line="360" w:lineRule="auto"/>
        <w:ind w:left="260"/>
        <w:rPr>
          <w:rFonts w:asciiTheme="minorEastAsia" w:hAnsiTheme="minorEastAsia" w:cstheme="minorEastAsia"/>
          <w:b/>
          <w:color w:val="333333"/>
          <w:sz w:val="28"/>
          <w:szCs w:val="28"/>
        </w:rPr>
      </w:pPr>
    </w:p>
    <w:p>
      <w:pPr>
        <w:pStyle w:val="4"/>
        <w:widowControl/>
        <w:spacing w:beforeAutospacing="0" w:afterAutospacing="0" w:line="360" w:lineRule="auto"/>
        <w:ind w:left="260" w:firstLine="733"/>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第一部分 部门概况</w:t>
      </w:r>
    </w:p>
    <w:p>
      <w:pPr>
        <w:pStyle w:val="4"/>
        <w:widowControl/>
        <w:spacing w:beforeAutospacing="0" w:afterAutospacing="0" w:line="360" w:lineRule="auto"/>
        <w:ind w:left="260" w:firstLine="733"/>
        <w:rPr>
          <w:rFonts w:asciiTheme="minorEastAsia" w:hAnsiTheme="minorEastAsia" w:cstheme="minorEastAsia"/>
          <w:sz w:val="28"/>
          <w:szCs w:val="28"/>
        </w:rPr>
      </w:pPr>
      <w:r>
        <w:rPr>
          <w:rFonts w:hint="eastAsia" w:ascii="宋体" w:hAnsi="宋体"/>
          <w:sz w:val="30"/>
          <w:szCs w:val="30"/>
        </w:rPr>
        <w:t>全额拨款事业单位，在岗31人，校长一名，书记一名，副校长一名，教导主任一名，政教主任一名，后勤主任一名。全校三个教学班，在校学生16人。</w:t>
      </w:r>
    </w:p>
    <w:p>
      <w:pPr>
        <w:pStyle w:val="4"/>
        <w:widowControl/>
        <w:spacing w:beforeAutospacing="0" w:afterAutospacing="0" w:line="360" w:lineRule="auto"/>
        <w:ind w:firstLine="700" w:firstLineChars="250"/>
        <w:rPr>
          <w:rFonts w:asciiTheme="minorEastAsia" w:hAnsiTheme="minorEastAsia" w:cstheme="minorEastAsia"/>
          <w:sz w:val="28"/>
          <w:szCs w:val="28"/>
        </w:rPr>
      </w:pPr>
      <w:r>
        <w:rPr>
          <w:rFonts w:hint="eastAsia" w:asciiTheme="minorEastAsia" w:hAnsiTheme="minorEastAsia" w:cstheme="minorEastAsia"/>
          <w:color w:val="333333"/>
          <w:sz w:val="28"/>
          <w:szCs w:val="28"/>
        </w:rPr>
        <w:t>一、主要职能</w:t>
      </w:r>
    </w:p>
    <w:p>
      <w:pPr>
        <w:pStyle w:val="4"/>
        <w:widowControl/>
        <w:shd w:val="clear" w:color="auto" w:fill="FFFFFF"/>
        <w:spacing w:beforeAutospacing="0" w:afterAutospacing="0" w:line="360" w:lineRule="auto"/>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  </w:t>
      </w:r>
      <w:r>
        <w:rPr>
          <w:rFonts w:asciiTheme="minorEastAsia" w:hAnsiTheme="minorEastAsia" w:cstheme="minorEastAsia"/>
          <w:color w:val="333333"/>
          <w:sz w:val="28"/>
          <w:szCs w:val="28"/>
          <w:shd w:val="clear" w:color="auto" w:fill="FFFFFF"/>
        </w:rPr>
        <w:t xml:space="preserve"> </w:t>
      </w:r>
      <w:r>
        <w:rPr>
          <w:rFonts w:hint="eastAsia" w:asciiTheme="minorEastAsia" w:hAnsiTheme="minorEastAsia" w:cstheme="minorEastAsia"/>
          <w:color w:val="333333"/>
          <w:sz w:val="28"/>
          <w:szCs w:val="28"/>
          <w:shd w:val="clear" w:color="auto" w:fill="FFFFFF"/>
        </w:rPr>
        <w:t>（一）贯彻执行党和国家的教育方针、政策、法规；</w:t>
      </w:r>
    </w:p>
    <w:p>
      <w:pPr>
        <w:pStyle w:val="4"/>
        <w:widowControl/>
        <w:shd w:val="clear" w:color="auto" w:fill="FFFFFF"/>
        <w:spacing w:beforeAutospacing="0" w:afterAutospacing="0" w:line="360" w:lineRule="auto"/>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  （二）维护学校的教学秩序，为学生创造良好的学习环境；</w:t>
      </w:r>
      <w:r>
        <w:rPr>
          <w:rFonts w:hint="eastAsia" w:asciiTheme="minorEastAsia" w:hAnsiTheme="minorEastAsia" w:cstheme="minorEastAsia"/>
          <w:color w:val="333333"/>
          <w:sz w:val="28"/>
          <w:szCs w:val="28"/>
          <w:shd w:val="clear" w:color="auto" w:fill="FFFFFF"/>
        </w:rPr>
        <w:br w:type="textWrapping"/>
      </w:r>
      <w:r>
        <w:rPr>
          <w:rFonts w:hint="eastAsia" w:asciiTheme="minorEastAsia" w:hAnsiTheme="minorEastAsia" w:cstheme="minorEastAsia"/>
          <w:color w:val="333333"/>
          <w:sz w:val="28"/>
          <w:szCs w:val="28"/>
          <w:shd w:val="clear" w:color="auto" w:fill="FFFFFF"/>
        </w:rPr>
        <w:t>  （三）积极地推进教育改革，按教育规律办学，不断提高教育教学质量；</w:t>
      </w:r>
    </w:p>
    <w:p>
      <w:pPr>
        <w:pStyle w:val="4"/>
        <w:widowControl/>
        <w:shd w:val="clear" w:color="auto" w:fill="FFFFFF"/>
        <w:spacing w:beforeAutospacing="0" w:afterAutospacing="0" w:line="360" w:lineRule="auto"/>
        <w:ind w:firstLine="420" w:firstLineChars="150"/>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（四）坚持教书育人，管理育人，服务育人，加强对学生的思想品德教育，使学生的德智体得到全面发展 。 </w:t>
      </w:r>
    </w:p>
    <w:p>
      <w:pPr>
        <w:pStyle w:val="4"/>
        <w:widowControl/>
        <w:shd w:val="clear" w:color="auto" w:fill="FFFFFF"/>
        <w:spacing w:beforeAutospacing="0" w:afterAutospacing="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pStyle w:val="4"/>
        <w:widowControl/>
        <w:spacing w:beforeAutospacing="0" w:afterAutospacing="0" w:line="360" w:lineRule="auto"/>
        <w:ind w:left="260" w:firstLine="1257" w:firstLineChars="449"/>
        <w:rPr>
          <w:rFonts w:asciiTheme="minorEastAsia" w:hAnsiTheme="minorEastAsia" w:cstheme="minorEastAsia"/>
          <w:sz w:val="28"/>
          <w:szCs w:val="28"/>
        </w:rPr>
      </w:pPr>
      <w:r>
        <w:rPr>
          <w:rFonts w:hint="eastAsia" w:asciiTheme="minorEastAsia" w:hAnsiTheme="minorEastAsia" w:cstheme="minorEastAsia"/>
          <w:color w:val="333333"/>
          <w:sz w:val="28"/>
          <w:szCs w:val="28"/>
        </w:rPr>
        <w:t>为全额行政单位，内设个3个内设机构，为一级预算单位。</w:t>
      </w:r>
    </w:p>
    <w:p>
      <w:pPr>
        <w:pStyle w:val="4"/>
        <w:widowControl/>
        <w:spacing w:beforeAutospacing="0" w:afterAutospacing="0" w:line="360" w:lineRule="auto"/>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4"/>
        <w:widowControl/>
        <w:spacing w:beforeAutospacing="0" w:afterAutospacing="0" w:line="360" w:lineRule="auto"/>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    行政单位编制数个，其中行政编制，在职人，退休人，离休人；事业编制3</w:t>
      </w:r>
      <w:r>
        <w:rPr>
          <w:rFonts w:asciiTheme="minorEastAsia" w:hAnsiTheme="minorEastAsia" w:cstheme="minorEastAsia"/>
          <w:color w:val="333333"/>
          <w:sz w:val="28"/>
          <w:szCs w:val="28"/>
        </w:rPr>
        <w:t>0</w:t>
      </w:r>
      <w:r>
        <w:rPr>
          <w:rFonts w:hint="eastAsia" w:asciiTheme="minorEastAsia" w:hAnsiTheme="minorEastAsia" w:cstheme="minorEastAsia"/>
          <w:color w:val="333333"/>
          <w:sz w:val="28"/>
          <w:szCs w:val="28"/>
        </w:rPr>
        <w:t>个，在职30人，退休31人。</w:t>
      </w:r>
    </w:p>
    <w:p>
      <w:pPr>
        <w:pStyle w:val="4"/>
        <w:widowControl/>
        <w:spacing w:beforeAutospacing="0" w:afterAutospacing="0" w:line="360" w:lineRule="auto"/>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Autospacing="0" w:afterAutospacing="0" w:line="360" w:lineRule="auto"/>
        <w:ind w:left="262"/>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Autospacing="0" w:line="360" w:lineRule="auto"/>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Autospacing="0" w:line="360" w:lineRule="auto"/>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2018年度收入总计501.08万元，支出总计501.08万元，与上年相比，收入总计减少44.68万元，减少8.92%；支出总计减少44.68万元，减少8.92%。</w:t>
      </w:r>
    </w:p>
    <w:p>
      <w:pPr>
        <w:pStyle w:val="4"/>
        <w:widowControl/>
        <w:shd w:val="clear" w:color="auto" w:fill="FFFFFF"/>
        <w:spacing w:beforeAutospacing="0" w:afterAutospacing="0" w:line="360" w:lineRule="auto"/>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Autospacing="0" w:line="360" w:lineRule="auto"/>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本年收入合计5</w:t>
      </w:r>
      <w:r>
        <w:rPr>
          <w:rFonts w:asciiTheme="minorEastAsia" w:hAnsiTheme="minorEastAsia" w:cstheme="minorEastAsia"/>
          <w:color w:val="373737"/>
          <w:sz w:val="28"/>
          <w:szCs w:val="28"/>
          <w:shd w:val="clear" w:color="auto" w:fill="FFFFFF"/>
        </w:rPr>
        <w:t>01.08</w:t>
      </w:r>
      <w:r>
        <w:rPr>
          <w:rFonts w:hint="eastAsia" w:asciiTheme="minorEastAsia" w:hAnsiTheme="minorEastAsia" w:cstheme="minorEastAsia"/>
          <w:color w:val="373737"/>
          <w:sz w:val="28"/>
          <w:szCs w:val="28"/>
          <w:shd w:val="clear" w:color="auto" w:fill="FFFFFF"/>
        </w:rPr>
        <w:t>万元，其中：财政拨款收入501.08万元，占100%；其他收入万元，占%。</w:t>
      </w:r>
    </w:p>
    <w:p>
      <w:pPr>
        <w:pStyle w:val="4"/>
        <w:widowControl/>
        <w:shd w:val="clear" w:color="auto" w:fill="FFFFFF"/>
        <w:spacing w:beforeAutospacing="0" w:afterAutospacing="0" w:line="360" w:lineRule="auto"/>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Autospacing="0" w:line="360" w:lineRule="auto"/>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本年支出合计501.08万元，其中：基本支出499.15万元，占99.61%；项目支出1.93万元，占0.39%；</w:t>
      </w:r>
    </w:p>
    <w:p>
      <w:pPr>
        <w:pStyle w:val="4"/>
        <w:widowControl/>
        <w:shd w:val="clear" w:color="auto" w:fill="FFFFFF"/>
        <w:spacing w:beforeAutospacing="0" w:afterAutospacing="0" w:line="360" w:lineRule="auto"/>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line="360" w:lineRule="auto"/>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2018年度财政拨款收入501.08万元，与上年相比，减少44.68万元，减少8.92%；2018年度财政拨款支出501.08万元，与上年相比，减少44.68万元，减少8.92%。</w:t>
      </w:r>
    </w:p>
    <w:p>
      <w:pPr>
        <w:pStyle w:val="4"/>
        <w:widowControl/>
        <w:shd w:val="clear" w:color="auto" w:fill="FFFFFF"/>
        <w:spacing w:beforeAutospacing="0" w:afterAutospacing="0" w:line="360" w:lineRule="auto"/>
        <w:ind w:left="135" w:right="270"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Autospacing="0" w:line="360" w:lineRule="auto"/>
        <w:ind w:left="135" w:firstLine="70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Autospacing="0" w:line="360" w:lineRule="auto"/>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2018年度财政拨款支出501.08万元，占本年支出合计的100%。与上年相比，财政拨款支出减少44.68万元，减少8.92%。</w:t>
      </w:r>
    </w:p>
    <w:p>
      <w:pPr>
        <w:pStyle w:val="4"/>
        <w:widowControl/>
        <w:shd w:val="clear" w:color="auto" w:fill="FFFFFF"/>
        <w:spacing w:beforeAutospacing="0" w:afterAutospacing="0" w:line="360" w:lineRule="auto"/>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Autospacing="0" w:line="360" w:lineRule="auto"/>
        <w:ind w:firstLine="102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2018年度财政拨款支出501.08万元，主要用于以下方面：</w:t>
      </w:r>
      <w:r>
        <w:rPr>
          <w:rStyle w:val="7"/>
          <w:rFonts w:hint="eastAsia" w:asciiTheme="minorEastAsia" w:hAnsiTheme="minorEastAsia" w:cstheme="minorEastAsia"/>
          <w:color w:val="373737"/>
          <w:sz w:val="28"/>
          <w:szCs w:val="28"/>
          <w:shd w:val="clear" w:color="auto" w:fill="FFFFFF"/>
        </w:rPr>
        <w:t>社会保障和就业（类）</w:t>
      </w:r>
      <w:r>
        <w:rPr>
          <w:rFonts w:hint="eastAsia" w:asciiTheme="minorEastAsia" w:hAnsiTheme="minorEastAsia" w:cstheme="minorEastAsia"/>
          <w:color w:val="373737"/>
          <w:sz w:val="28"/>
          <w:szCs w:val="28"/>
          <w:shd w:val="clear" w:color="auto" w:fill="FFFFFF"/>
        </w:rPr>
        <w:t>支出33</w:t>
      </w:r>
      <w:r>
        <w:rPr>
          <w:rFonts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rPr>
        <w:t>88万元，占6</w:t>
      </w:r>
      <w:r>
        <w:rPr>
          <w:rFonts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rPr>
        <w:t>76%；</w:t>
      </w:r>
      <w:r>
        <w:rPr>
          <w:rStyle w:val="7"/>
          <w:rFonts w:hint="eastAsia" w:asciiTheme="minorEastAsia" w:hAnsiTheme="minorEastAsia" w:cstheme="minorEastAsia"/>
          <w:color w:val="373737"/>
          <w:sz w:val="28"/>
          <w:szCs w:val="28"/>
          <w:shd w:val="clear" w:color="auto" w:fill="FFFFFF"/>
        </w:rPr>
        <w:t>医疗卫生与计划生育（类）</w:t>
      </w:r>
      <w:r>
        <w:rPr>
          <w:rFonts w:hint="eastAsia" w:asciiTheme="minorEastAsia" w:hAnsiTheme="minorEastAsia" w:cstheme="minorEastAsia"/>
          <w:color w:val="373737"/>
          <w:sz w:val="28"/>
          <w:szCs w:val="28"/>
          <w:shd w:val="clear" w:color="auto" w:fill="FFFFFF"/>
        </w:rPr>
        <w:t>支出万元，占%；</w:t>
      </w:r>
      <w:r>
        <w:rPr>
          <w:rStyle w:val="7"/>
          <w:rFonts w:hint="eastAsia" w:asciiTheme="minorEastAsia" w:hAnsiTheme="minorEastAsia" w:cstheme="minorEastAsia"/>
          <w:color w:val="373737"/>
          <w:sz w:val="28"/>
          <w:szCs w:val="28"/>
          <w:shd w:val="clear" w:color="auto" w:fill="FFFFFF"/>
        </w:rPr>
        <w:t>农林水（类）</w:t>
      </w:r>
      <w:r>
        <w:rPr>
          <w:rFonts w:hint="eastAsia" w:asciiTheme="minorEastAsia" w:hAnsiTheme="minorEastAsia" w:cstheme="minorEastAsia"/>
          <w:color w:val="373737"/>
          <w:sz w:val="28"/>
          <w:szCs w:val="28"/>
          <w:shd w:val="clear" w:color="auto" w:fill="FFFFFF"/>
        </w:rPr>
        <w:t>支出1.93万元，占0.39%；</w:t>
      </w:r>
      <w:r>
        <w:rPr>
          <w:rStyle w:val="7"/>
          <w:rFonts w:hint="eastAsia" w:asciiTheme="minorEastAsia" w:hAnsiTheme="minorEastAsia" w:cstheme="minorEastAsia"/>
          <w:color w:val="373737"/>
          <w:sz w:val="28"/>
          <w:szCs w:val="28"/>
          <w:shd w:val="clear" w:color="auto" w:fill="FFFFFF"/>
        </w:rPr>
        <w:t>住房保障（类）</w:t>
      </w:r>
      <w:r>
        <w:rPr>
          <w:rFonts w:hint="eastAsia" w:asciiTheme="minorEastAsia" w:hAnsiTheme="minorEastAsia" w:cstheme="minorEastAsia"/>
          <w:color w:val="373737"/>
          <w:sz w:val="28"/>
          <w:szCs w:val="28"/>
          <w:shd w:val="clear" w:color="auto" w:fill="FFFFFF"/>
        </w:rPr>
        <w:t>支出万元，占%。（根据单位实际科目）</w:t>
      </w:r>
    </w:p>
    <w:p>
      <w:pPr>
        <w:pStyle w:val="4"/>
        <w:widowControl/>
        <w:shd w:val="clear" w:color="auto" w:fill="FFFFFF"/>
        <w:spacing w:beforeAutospacing="0" w:afterAutospacing="0" w:line="360" w:lineRule="auto"/>
        <w:ind w:left="90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Autospacing="0" w:line="360" w:lineRule="auto"/>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451.51万元，支出决算为501.08万元，完成年初预算的110.98%。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pPr>
        <w:pStyle w:val="4"/>
        <w:widowControl/>
        <w:shd w:val="clear" w:color="auto" w:fill="FFFFFF"/>
        <w:spacing w:beforeAutospacing="0" w:afterAutospacing="0" w:line="360" w:lineRule="auto"/>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 社会保障和就业（类）行政事业单位离退休（款）未归口管理的行政单位离退休（项）。</w:t>
      </w:r>
    </w:p>
    <w:p>
      <w:pPr>
        <w:pStyle w:val="4"/>
        <w:widowControl/>
        <w:shd w:val="clear" w:color="auto" w:fill="FFFFFF"/>
        <w:spacing w:beforeAutospacing="0" w:afterAutospacing="0" w:line="360" w:lineRule="auto"/>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年初预算为338.76万元，支出决算为338.76万元，完成年初预算的100%。决算数大于预算数的主要原因是2018年离退休职工工资增长了。</w:t>
      </w:r>
    </w:p>
    <w:p>
      <w:pPr>
        <w:pStyle w:val="4"/>
        <w:widowControl/>
        <w:shd w:val="clear" w:color="auto" w:fill="FFFFFF"/>
        <w:spacing w:beforeAutospacing="0" w:afterAutospacing="0" w:line="360" w:lineRule="auto"/>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 医疗卫生和计划生育（类）医疗保障（款）行政单位医疗（项）。</w:t>
      </w:r>
    </w:p>
    <w:p>
      <w:pPr>
        <w:pStyle w:val="4"/>
        <w:widowControl/>
        <w:shd w:val="clear" w:color="auto" w:fill="FFFFFF"/>
        <w:spacing w:beforeAutospacing="0" w:afterAutospacing="0" w:line="360" w:lineRule="auto"/>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年初预算为万元，支出决算为万元，完成年初预算的%。决算数大于预算数的主要原因在职职工增长了工资，使医疗保险的缴交比例增加了。</w:t>
      </w:r>
    </w:p>
    <w:p>
      <w:pPr>
        <w:pStyle w:val="4"/>
        <w:widowControl/>
        <w:shd w:val="clear" w:color="auto" w:fill="FFFFFF"/>
        <w:spacing w:beforeAutospacing="0" w:afterAutospacing="0" w:line="360" w:lineRule="auto"/>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 农林水（类）农业（款）行政运行（项）。</w:t>
      </w:r>
    </w:p>
    <w:p>
      <w:pPr>
        <w:pStyle w:val="4"/>
        <w:widowControl/>
        <w:shd w:val="clear" w:color="auto" w:fill="FFFFFF"/>
        <w:spacing w:beforeAutospacing="0" w:afterAutospacing="0" w:line="360" w:lineRule="auto"/>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年初预算为1.93万元，支出决算为1.93万元，完成年初预算的100%。决算数大于预算数的主要原因是2018年增加了行政管理事务等项目资金。</w:t>
      </w:r>
    </w:p>
    <w:p>
      <w:pPr>
        <w:pStyle w:val="4"/>
        <w:widowControl/>
        <w:shd w:val="clear" w:color="auto" w:fill="FFFFFF"/>
        <w:spacing w:beforeAutospacing="0" w:afterAutospacing="0" w:line="360" w:lineRule="auto"/>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4. 住房保障（类）住房改革支出（款）住房公积金（项）。</w:t>
      </w:r>
    </w:p>
    <w:p>
      <w:pPr>
        <w:pStyle w:val="4"/>
        <w:widowControl/>
        <w:shd w:val="clear" w:color="auto" w:fill="FFFFFF"/>
        <w:spacing w:beforeAutospacing="0" w:afterAutospacing="0" w:line="360" w:lineRule="auto"/>
        <w:ind w:left="165" w:firstLine="48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年初预算为万元，支出决算为万元，完成年初预算的%。决算数大于预算数的主要原因是2018年在职职工增长了工资，使住房公积金的缴交比例增加了。</w:t>
      </w:r>
    </w:p>
    <w:p>
      <w:pPr>
        <w:pStyle w:val="4"/>
        <w:widowControl/>
        <w:shd w:val="clear" w:color="auto" w:fill="FFFFFF"/>
        <w:spacing w:beforeAutospacing="0" w:afterAutospacing="0" w:line="360" w:lineRule="auto"/>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Autospacing="0" w:line="360" w:lineRule="auto"/>
        <w:ind w:right="270" w:firstLine="31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Autospacing="0" w:line="360" w:lineRule="auto"/>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2018年度财政拨款基本支出499</w:t>
      </w:r>
      <w:r>
        <w:rPr>
          <w:rFonts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rPr>
        <w:t>1</w:t>
      </w:r>
      <w:r>
        <w:rPr>
          <w:rFonts w:asciiTheme="minorEastAsia" w:hAnsiTheme="minorEastAsia" w:cstheme="minorEastAsia"/>
          <w:color w:val="373737"/>
          <w:sz w:val="28"/>
          <w:szCs w:val="28"/>
          <w:shd w:val="clear" w:color="auto" w:fill="FFFFFF"/>
        </w:rPr>
        <w:t>5</w:t>
      </w:r>
      <w:r>
        <w:rPr>
          <w:rFonts w:hint="eastAsia" w:asciiTheme="minorEastAsia" w:hAnsiTheme="minorEastAsia" w:cstheme="minorEastAsia"/>
          <w:color w:val="373737"/>
          <w:sz w:val="28"/>
          <w:szCs w:val="28"/>
          <w:shd w:val="clear" w:color="auto" w:fill="FFFFFF"/>
        </w:rPr>
        <w:t>万元，其中：人员经费457</w:t>
      </w:r>
      <w:r>
        <w:rPr>
          <w:rFonts w:asciiTheme="minorEastAsia" w:hAnsiTheme="minorEastAsia" w:cstheme="minorEastAsia"/>
          <w:color w:val="373737"/>
          <w:sz w:val="28"/>
          <w:szCs w:val="28"/>
          <w:shd w:val="clear" w:color="auto" w:fill="FFFFFF"/>
        </w:rPr>
        <w:t>.</w:t>
      </w:r>
      <w:r>
        <w:rPr>
          <w:rFonts w:hint="eastAsia" w:asciiTheme="minorEastAsia" w:hAnsiTheme="minorEastAsia" w:cstheme="minorEastAsia"/>
          <w:color w:val="373737"/>
          <w:sz w:val="28"/>
          <w:szCs w:val="28"/>
          <w:shd w:val="clear" w:color="auto" w:fill="FFFFFF"/>
        </w:rPr>
        <w:t>9万元，主要包括：基本工资、津贴补贴、奖金、其他社会保障缴费、伙食补助费、其他工资福利支出、离休费、退休费、医疗费、奖励金、住房公积金、提租补贴、采暖补贴、其他对个人和家庭的补助支出；公用经费4.12万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line="360" w:lineRule="auto"/>
        <w:ind w:left="255" w:right="270"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Autospacing="0" w:line="360" w:lineRule="auto"/>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Autospacing="0" w:line="360" w:lineRule="auto"/>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万元，支出决算为万元，完成预算的%，其中：因公出国（境）费支出决算为万元，完成预算的%；公务用车购置及运行费支出决算为万元，完成预算的%；公务接待费支出决算为万元，完成预算的%。2018年度“三公”经费支出决算数与预算数持平。</w:t>
      </w:r>
    </w:p>
    <w:p>
      <w:pPr>
        <w:pStyle w:val="4"/>
        <w:widowControl/>
        <w:shd w:val="clear" w:color="auto" w:fill="FFFFFF"/>
        <w:spacing w:beforeAutospacing="0" w:afterAutospacing="0" w:line="360" w:lineRule="auto"/>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万元，减少%，公务用车购置及运行费支出决算0万元，减少%，原因为：部门严格执行三公经费缩减，车改后车辆上交；公务接待费支出决算0万元，增长%，原因为：严格按照上级标准，缩减公务接待开支。</w:t>
      </w:r>
    </w:p>
    <w:p>
      <w:pPr>
        <w:pStyle w:val="4"/>
        <w:widowControl/>
        <w:shd w:val="clear" w:color="auto" w:fill="FFFFFF"/>
        <w:spacing w:beforeAutospacing="0" w:afterAutospacing="0" w:line="360" w:lineRule="auto"/>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Autospacing="0" w:line="360" w:lineRule="auto"/>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2018年度“三公”经费财政拨款支出决算中，因公出国（境）费支出决算万元，占%；公务用车购置及运行费支出决算万元，占%；公务接待费支出决算万元，占%。</w:t>
      </w:r>
    </w:p>
    <w:p>
      <w:pPr>
        <w:pStyle w:val="4"/>
        <w:widowControl/>
        <w:shd w:val="clear" w:color="auto" w:fill="FFFFFF"/>
        <w:spacing w:beforeAutospacing="0" w:afterAutospacing="0" w:line="360" w:lineRule="auto"/>
        <w:ind w:firstLine="855"/>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Autospacing="0" w:line="360" w:lineRule="auto"/>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Autospacing="0" w:line="360" w:lineRule="auto"/>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7"/>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7"/>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Autospacing="0" w:line="360" w:lineRule="auto"/>
        <w:ind w:firstLine="630"/>
        <w:textAlignment w:val="baseline"/>
        <w:rPr>
          <w:rFonts w:asciiTheme="minorEastAsia" w:hAnsiTheme="minorEastAsia" w:cstheme="minorEastAsia"/>
          <w:color w:val="333333"/>
          <w:sz w:val="28"/>
          <w:szCs w:val="28"/>
        </w:rPr>
      </w:pPr>
      <w:r>
        <w:rPr>
          <w:rStyle w:val="7"/>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万元。其中：国内公务接待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万元，国内公务接待批次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个，国内公务接待人次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人；国（境）外公务接待</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7"/>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Autospacing="0" w:afterAutospacing="0" w:line="360" w:lineRule="auto"/>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Autospacing="0" w:afterAutospacing="0" w:line="360" w:lineRule="auto"/>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Autospacing="0" w:afterAutospacing="0" w:line="360" w:lineRule="auto"/>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 xml:space="preserve">本部门 2018年度机关运行经费支出 </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 万元（与部门决算中行政单位和参照公务员法管理事业单位一般公共预算财政拨款基本支出中公用经费之和保持一致），比上年增加（减少）</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 xml:space="preserve"> 万元，增长（降低）</w:t>
      </w:r>
      <w:r>
        <w:rPr>
          <w:rFonts w:hint="eastAsia" w:asciiTheme="minorEastAsia" w:hAnsiTheme="minorEastAsia" w:cstheme="minorEastAsia"/>
          <w:color w:val="333333"/>
          <w:sz w:val="28"/>
          <w:szCs w:val="28"/>
          <w:lang w:val="en-US" w:eastAsia="zh-CN"/>
        </w:rPr>
        <w:t>0</w:t>
      </w:r>
      <w:r>
        <w:rPr>
          <w:rFonts w:hint="eastAsia" w:asciiTheme="minorEastAsia" w:hAnsiTheme="minorEastAsia" w:cstheme="minorEastAsia"/>
          <w:color w:val="333333"/>
          <w:sz w:val="28"/>
          <w:szCs w:val="28"/>
        </w:rPr>
        <w:t>%。主要原因是：……（具体增减原因由部门根据实际情况填列）。</w:t>
      </w:r>
    </w:p>
    <w:p>
      <w:pPr>
        <w:pStyle w:val="4"/>
        <w:widowControl/>
        <w:spacing w:beforeAutospacing="0" w:afterAutospacing="0" w:line="360" w:lineRule="auto"/>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Autospacing="0" w:afterAutospacing="0" w:line="360" w:lineRule="auto"/>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2017年度政府采购支出总额 万元，其中：政府采购货物支出万元、政府采购工程支出 万元、政府采购服务支出万元。</w:t>
      </w:r>
    </w:p>
    <w:p>
      <w:pPr>
        <w:pStyle w:val="4"/>
        <w:widowControl/>
        <w:spacing w:beforeAutospacing="0" w:afterAutospacing="0" w:line="360" w:lineRule="auto"/>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Autospacing="0" w:afterAutospacing="0" w:line="360" w:lineRule="auto"/>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日，本部门共有车辆辆，其中，一般公务用车 0 辆、一般执法执勤用辆、特种专业技术用车辆、其他用车辆，其他用车主要是办案用车；单位价值 50 万万元以上通用设备台（套），单价100 万万元以上专用设备 台（套）。</w:t>
      </w:r>
    </w:p>
    <w:p>
      <w:pPr>
        <w:pStyle w:val="4"/>
        <w:widowControl/>
        <w:spacing w:beforeAutospacing="0" w:afterAutospacing="0" w:line="360" w:lineRule="auto"/>
        <w:ind w:firstLine="851"/>
        <w:rPr>
          <w:rFonts w:asciiTheme="minorEastAsia" w:hAnsiTheme="minorEastAsia" w:cstheme="minorEastAsia"/>
          <w:sz w:val="28"/>
          <w:szCs w:val="28"/>
        </w:rPr>
      </w:pPr>
      <w:bookmarkStart w:id="0" w:name="_GoBack"/>
      <w:bookmarkEnd w:id="0"/>
      <w:r>
        <w:rPr>
          <w:rFonts w:hint="eastAsia" w:asciiTheme="minorEastAsia" w:hAnsiTheme="minorEastAsia" w:cstheme="minorEastAsia"/>
          <w:color w:val="333333"/>
          <w:sz w:val="28"/>
          <w:szCs w:val="28"/>
        </w:rPr>
        <w:t> </w:t>
      </w:r>
    </w:p>
    <w:p>
      <w:pPr>
        <w:pStyle w:val="4"/>
        <w:widowControl/>
        <w:spacing w:beforeAutospacing="0" w:afterAutospacing="0" w:line="360" w:lineRule="auto"/>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Autospacing="0" w:afterAutospacing="0" w:line="360" w:lineRule="auto"/>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Autospacing="0" w:afterAutospacing="0" w:line="360" w:lineRule="auto"/>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Autospacing="0" w:afterAutospacing="0" w:line="360" w:lineRule="auto"/>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Autospacing="0" w:afterAutospacing="0" w:line="360" w:lineRule="auto"/>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Autospacing="0" w:afterAutospacing="0" w:line="360" w:lineRule="auto"/>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Autospacing="0" w:afterAutospacing="0" w:line="360" w:lineRule="auto"/>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Autospacing="0" w:afterAutospacing="0" w:line="360" w:lineRule="auto"/>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Autospacing="0" w:afterAutospacing="0" w:line="360" w:lineRule="auto"/>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Autospacing="0" w:afterAutospacing="0" w:line="360" w:lineRule="auto"/>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Autospacing="0" w:afterAutospacing="0" w:line="360" w:lineRule="auto"/>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Autospacing="0" w:afterAutospacing="0" w:line="360" w:lineRule="auto"/>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Autospacing="0" w:afterAutospacing="0" w:line="360" w:lineRule="auto"/>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Autospacing="0" w:afterAutospacing="0" w:line="360" w:lineRule="auto"/>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360" w:lineRule="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6745785"/>
      <w:docPartObj>
        <w:docPartGallery w:val="AutoText"/>
      </w:docPartObj>
    </w:sdtPr>
    <w:sdtContent>
      <w:p>
        <w:pPr>
          <w:pStyle w:val="2"/>
          <w:jc w:val="center"/>
        </w:pPr>
        <w:r>
          <w:fldChar w:fldCharType="begin"/>
        </w:r>
        <w:r>
          <w:instrText xml:space="preserve">PAGE   \* MERGEFORMAT</w:instrText>
        </w:r>
        <w:r>
          <w:fldChar w:fldCharType="separate"/>
        </w:r>
        <w:r>
          <w:rPr>
            <w:lang w:val="zh-CN"/>
          </w:rPr>
          <w:t>8</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DE7389C"/>
    <w:rsid w:val="000C6A6D"/>
    <w:rsid w:val="002E649A"/>
    <w:rsid w:val="00303955"/>
    <w:rsid w:val="00312BB8"/>
    <w:rsid w:val="004B5236"/>
    <w:rsid w:val="005911B0"/>
    <w:rsid w:val="005912CD"/>
    <w:rsid w:val="006705BB"/>
    <w:rsid w:val="00695C3B"/>
    <w:rsid w:val="00760BB8"/>
    <w:rsid w:val="007845B5"/>
    <w:rsid w:val="0086288C"/>
    <w:rsid w:val="00931251"/>
    <w:rsid w:val="009B27F9"/>
    <w:rsid w:val="00C96CE1"/>
    <w:rsid w:val="00CC30A2"/>
    <w:rsid w:val="00F606F6"/>
    <w:rsid w:val="01340F75"/>
    <w:rsid w:val="03FE7F0E"/>
    <w:rsid w:val="098217C0"/>
    <w:rsid w:val="0E980DC7"/>
    <w:rsid w:val="179B676B"/>
    <w:rsid w:val="1CFB22BC"/>
    <w:rsid w:val="2A054FEB"/>
    <w:rsid w:val="2DE7389C"/>
    <w:rsid w:val="3DDC6AB6"/>
    <w:rsid w:val="419008B3"/>
    <w:rsid w:val="59FC385C"/>
    <w:rsid w:val="62763A6A"/>
    <w:rsid w:val="6B6E45D7"/>
    <w:rsid w:val="6BC52739"/>
    <w:rsid w:val="763C3B43"/>
    <w:rsid w:val="768870B2"/>
    <w:rsid w:val="7BC22F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99"/>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333333"/>
      <w:sz w:val="18"/>
      <w:szCs w:val="18"/>
      <w:u w:val="none"/>
    </w:rPr>
  </w:style>
  <w:style w:type="character" w:styleId="9">
    <w:name w:val="Emphasis"/>
    <w:basedOn w:val="6"/>
    <w:qFormat/>
    <w:uiPriority w:val="0"/>
    <w:rPr>
      <w:i/>
    </w:rPr>
  </w:style>
  <w:style w:type="character" w:styleId="10">
    <w:name w:val="Hyperlink"/>
    <w:basedOn w:val="6"/>
    <w:qFormat/>
    <w:uiPriority w:val="0"/>
    <w:rPr>
      <w:color w:val="333333"/>
      <w:sz w:val="18"/>
      <w:szCs w:val="18"/>
      <w:u w:val="none"/>
    </w:rPr>
  </w:style>
  <w:style w:type="character" w:customStyle="1" w:styleId="11">
    <w:name w:val="laiy"/>
    <w:basedOn w:val="6"/>
    <w:qFormat/>
    <w:uiPriority w:val="0"/>
  </w:style>
  <w:style w:type="character" w:customStyle="1" w:styleId="12">
    <w:name w:val="zuoz"/>
    <w:basedOn w:val="6"/>
    <w:qFormat/>
    <w:uiPriority w:val="0"/>
  </w:style>
  <w:style w:type="character" w:customStyle="1" w:styleId="13">
    <w:name w:val="update"/>
    <w:basedOn w:val="6"/>
    <w:qFormat/>
    <w:uiPriority w:val="0"/>
  </w:style>
  <w:style w:type="character" w:customStyle="1" w:styleId="14">
    <w:name w:val="hot1"/>
    <w:basedOn w:val="6"/>
    <w:qFormat/>
    <w:uiPriority w:val="0"/>
  </w:style>
  <w:style w:type="character" w:customStyle="1" w:styleId="15">
    <w:name w:val="td12"/>
    <w:basedOn w:val="6"/>
    <w:qFormat/>
    <w:uiPriority w:val="0"/>
    <w:rPr>
      <w:rFonts w:ascii="Arial" w:hAnsi="Arial" w:cs="Arial"/>
      <w:color w:val="FFFFFF"/>
      <w:sz w:val="16"/>
      <w:szCs w:val="16"/>
    </w:rPr>
  </w:style>
  <w:style w:type="character" w:customStyle="1" w:styleId="16">
    <w:name w:val="td22"/>
    <w:basedOn w:val="6"/>
    <w:qFormat/>
    <w:uiPriority w:val="0"/>
  </w:style>
  <w:style w:type="character" w:customStyle="1" w:styleId="17">
    <w:name w:val="td32"/>
    <w:basedOn w:val="6"/>
    <w:qFormat/>
    <w:uiPriority w:val="0"/>
  </w:style>
  <w:style w:type="character" w:customStyle="1" w:styleId="18">
    <w:name w:val="home"/>
    <w:basedOn w:val="6"/>
    <w:qFormat/>
    <w:uiPriority w:val="0"/>
  </w:style>
  <w:style w:type="character" w:customStyle="1" w:styleId="19">
    <w:name w:val="页眉 Char"/>
    <w:basedOn w:val="6"/>
    <w:link w:val="3"/>
    <w:qFormat/>
    <w:uiPriority w:val="0"/>
    <w:rPr>
      <w:rFonts w:asciiTheme="minorHAnsi" w:hAnsiTheme="minorHAnsi" w:eastAsiaTheme="minorEastAsia" w:cstheme="minorBidi"/>
      <w:kern w:val="2"/>
      <w:sz w:val="18"/>
      <w:szCs w:val="18"/>
    </w:rPr>
  </w:style>
  <w:style w:type="character" w:customStyle="1" w:styleId="20">
    <w:name w:val="页脚 Char"/>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582</Words>
  <Characters>3318</Characters>
  <Lines>27</Lines>
  <Paragraphs>7</Paragraphs>
  <TotalTime>85</TotalTime>
  <ScaleCrop>false</ScaleCrop>
  <LinksUpToDate>false</LinksUpToDate>
  <CharactersWithSpaces>3893</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cp:lastModifiedBy>
  <dcterms:modified xsi:type="dcterms:W3CDTF">2019-09-19T10:36:40Z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